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1458"/>
        <w:gridCol w:w="4855"/>
      </w:tblGrid>
      <w:tr w:rsidR="00F1159F" w:rsidRPr="00B8246C" w14:paraId="67B7E626" w14:textId="77777777" w:rsidTr="00797A1F">
        <w:trPr>
          <w:trHeight w:val="305"/>
        </w:trPr>
        <w:tc>
          <w:tcPr>
            <w:tcW w:w="4495" w:type="dxa"/>
            <w:gridSpan w:val="2"/>
          </w:tcPr>
          <w:p w14:paraId="72798DE9" w14:textId="77777777" w:rsidR="00F1159F" w:rsidRPr="00B8246C" w:rsidRDefault="00F1159F">
            <w:pPr>
              <w:rPr>
                <w:b/>
                <w:lang w:val="es-ES"/>
              </w:rPr>
            </w:pPr>
            <w:bookmarkStart w:id="0" w:name="_GoBack"/>
            <w:bookmarkEnd w:id="0"/>
            <w:r w:rsidRPr="00B8246C">
              <w:rPr>
                <w:b/>
                <w:lang w:val="es-ES"/>
              </w:rPr>
              <w:t xml:space="preserve">Texas </w:t>
            </w:r>
            <w:proofErr w:type="spellStart"/>
            <w:r w:rsidRPr="00B8246C">
              <w:rPr>
                <w:b/>
                <w:lang w:val="es-ES"/>
              </w:rPr>
              <w:t>Health</w:t>
            </w:r>
            <w:proofErr w:type="spellEnd"/>
            <w:r w:rsidRPr="00B8246C">
              <w:rPr>
                <w:b/>
                <w:lang w:val="es-ES"/>
              </w:rPr>
              <w:t xml:space="preserve"> </w:t>
            </w:r>
            <w:proofErr w:type="spellStart"/>
            <w:r w:rsidRPr="00B8246C">
              <w:rPr>
                <w:b/>
                <w:lang w:val="es-ES"/>
              </w:rPr>
              <w:t>Surgery</w:t>
            </w:r>
            <w:proofErr w:type="spellEnd"/>
            <w:r w:rsidRPr="00B8246C">
              <w:rPr>
                <w:b/>
                <w:lang w:val="es-ES"/>
              </w:rPr>
              <w:t xml:space="preserve"> Center Bedford</w:t>
            </w:r>
          </w:p>
        </w:tc>
        <w:tc>
          <w:tcPr>
            <w:tcW w:w="4855" w:type="dxa"/>
          </w:tcPr>
          <w:p w14:paraId="3C46159C" w14:textId="77777777" w:rsidR="00F1159F" w:rsidRPr="00B8246C" w:rsidRDefault="00F1159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Política No. PR-2</w:t>
            </w:r>
          </w:p>
        </w:tc>
      </w:tr>
      <w:tr w:rsidR="00797A1F" w:rsidRPr="00B8246C" w14:paraId="6725F657" w14:textId="77777777" w:rsidTr="00797A1F">
        <w:tc>
          <w:tcPr>
            <w:tcW w:w="3037" w:type="dxa"/>
          </w:tcPr>
          <w:p w14:paraId="15052FE6" w14:textId="77777777" w:rsidR="00797A1F" w:rsidRPr="00B8246C" w:rsidRDefault="00797A1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Elaborado por: LB</w:t>
            </w:r>
          </w:p>
        </w:tc>
        <w:tc>
          <w:tcPr>
            <w:tcW w:w="1458" w:type="dxa"/>
          </w:tcPr>
          <w:p w14:paraId="030B5A35" w14:textId="77777777" w:rsidR="00797A1F" w:rsidRPr="00B8246C" w:rsidRDefault="00797A1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Aprobado por: MEC</w:t>
            </w:r>
          </w:p>
        </w:tc>
        <w:tc>
          <w:tcPr>
            <w:tcW w:w="4855" w:type="dxa"/>
            <w:vMerge w:val="restart"/>
          </w:tcPr>
          <w:p w14:paraId="659059F3" w14:textId="77777777" w:rsidR="00797A1F" w:rsidRPr="00B8246C" w:rsidRDefault="00797A1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Título – É</w:t>
            </w:r>
            <w:r w:rsidR="00B50406" w:rsidRPr="00B8246C">
              <w:rPr>
                <w:b/>
                <w:lang w:val="es-ES"/>
              </w:rPr>
              <w:t>tica</w:t>
            </w:r>
            <w:r w:rsidRPr="00B8246C">
              <w:rPr>
                <w:b/>
                <w:lang w:val="es-ES"/>
              </w:rPr>
              <w:t>, Derechos y Responsabilidades</w:t>
            </w:r>
          </w:p>
          <w:p w14:paraId="6DD7B00B" w14:textId="77777777" w:rsidR="00797A1F" w:rsidRPr="00B8246C" w:rsidRDefault="00797A1F">
            <w:pPr>
              <w:rPr>
                <w:b/>
                <w:lang w:val="es-ES"/>
              </w:rPr>
            </w:pPr>
          </w:p>
          <w:p w14:paraId="06899501" w14:textId="77777777" w:rsidR="00797A1F" w:rsidRPr="00B8246C" w:rsidRDefault="00F11BD2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PR- Voluntades Anticipadas</w:t>
            </w:r>
          </w:p>
        </w:tc>
      </w:tr>
      <w:tr w:rsidR="00797A1F" w:rsidRPr="00B8246C" w14:paraId="5CE563A9" w14:textId="77777777" w:rsidTr="00797A1F">
        <w:tc>
          <w:tcPr>
            <w:tcW w:w="3037" w:type="dxa"/>
          </w:tcPr>
          <w:p w14:paraId="3668638A" w14:textId="77777777" w:rsidR="00797A1F" w:rsidRPr="00B8246C" w:rsidRDefault="00797A1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Fecha de origen: 17/5</w:t>
            </w:r>
          </w:p>
        </w:tc>
        <w:tc>
          <w:tcPr>
            <w:tcW w:w="1458" w:type="dxa"/>
            <w:vMerge w:val="restart"/>
          </w:tcPr>
          <w:p w14:paraId="5DBF693E" w14:textId="77777777" w:rsidR="00797A1F" w:rsidRPr="00B8246C" w:rsidRDefault="00797A1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Página</w:t>
            </w:r>
          </w:p>
          <w:p w14:paraId="13354DA3" w14:textId="77777777" w:rsidR="00797A1F" w:rsidRPr="00B8246C" w:rsidRDefault="00797A1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1 de 2</w:t>
            </w:r>
          </w:p>
        </w:tc>
        <w:tc>
          <w:tcPr>
            <w:tcW w:w="4855" w:type="dxa"/>
            <w:vMerge/>
          </w:tcPr>
          <w:p w14:paraId="7EF01F15" w14:textId="77777777" w:rsidR="00797A1F" w:rsidRPr="00B8246C" w:rsidRDefault="00797A1F">
            <w:pPr>
              <w:rPr>
                <w:b/>
                <w:lang w:val="es-ES"/>
              </w:rPr>
            </w:pPr>
          </w:p>
        </w:tc>
      </w:tr>
      <w:tr w:rsidR="00797A1F" w:rsidRPr="00B8246C" w14:paraId="7F2B2B89" w14:textId="77777777" w:rsidTr="00797A1F">
        <w:tc>
          <w:tcPr>
            <w:tcW w:w="3037" w:type="dxa"/>
          </w:tcPr>
          <w:p w14:paraId="672D2E1F" w14:textId="77777777" w:rsidR="00797A1F" w:rsidRPr="00B8246C" w:rsidRDefault="00797A1F">
            <w:pPr>
              <w:rPr>
                <w:b/>
                <w:lang w:val="es-ES"/>
              </w:rPr>
            </w:pPr>
            <w:r w:rsidRPr="00B8246C">
              <w:rPr>
                <w:b/>
                <w:lang w:val="es-ES"/>
              </w:rPr>
              <w:t>Fecha de revisión o actualización:</w:t>
            </w:r>
          </w:p>
        </w:tc>
        <w:tc>
          <w:tcPr>
            <w:tcW w:w="1458" w:type="dxa"/>
            <w:vMerge/>
          </w:tcPr>
          <w:p w14:paraId="4B4F5266" w14:textId="77777777" w:rsidR="00797A1F" w:rsidRPr="00B8246C" w:rsidRDefault="00797A1F">
            <w:pPr>
              <w:rPr>
                <w:b/>
                <w:lang w:val="es-ES"/>
              </w:rPr>
            </w:pPr>
          </w:p>
        </w:tc>
        <w:tc>
          <w:tcPr>
            <w:tcW w:w="4855" w:type="dxa"/>
            <w:vMerge/>
          </w:tcPr>
          <w:p w14:paraId="3D18E58D" w14:textId="77777777" w:rsidR="00797A1F" w:rsidRPr="00B8246C" w:rsidRDefault="00797A1F">
            <w:pPr>
              <w:rPr>
                <w:b/>
                <w:lang w:val="es-ES"/>
              </w:rPr>
            </w:pPr>
          </w:p>
        </w:tc>
      </w:tr>
    </w:tbl>
    <w:p w14:paraId="36321464" w14:textId="77777777" w:rsidR="00754126" w:rsidRPr="00B8246C" w:rsidRDefault="00A87D67">
      <w:pPr>
        <w:rPr>
          <w:b/>
          <w:lang w:val="es-ES"/>
        </w:rPr>
      </w:pPr>
    </w:p>
    <w:p w14:paraId="3A451047" w14:textId="77777777" w:rsidR="00F11BD2" w:rsidRDefault="00F11BD2">
      <w:pPr>
        <w:rPr>
          <w:lang w:val="es-ES"/>
        </w:rPr>
      </w:pPr>
    </w:p>
    <w:p w14:paraId="068E465E" w14:textId="77777777" w:rsidR="00F11BD2" w:rsidRPr="00B8246C" w:rsidRDefault="00F11BD2">
      <w:pPr>
        <w:rPr>
          <w:b/>
          <w:lang w:val="es-ES"/>
        </w:rPr>
      </w:pPr>
      <w:r w:rsidRPr="00B8246C">
        <w:rPr>
          <w:b/>
          <w:lang w:val="es-ES"/>
        </w:rPr>
        <w:t>Política:</w:t>
      </w:r>
    </w:p>
    <w:p w14:paraId="1B2E3E12" w14:textId="3274609C" w:rsidR="00F11BD2" w:rsidRDefault="00F11BD2" w:rsidP="00B8246C">
      <w:pPr>
        <w:jc w:val="both"/>
        <w:rPr>
          <w:lang w:val="es-ES"/>
        </w:rPr>
      </w:pPr>
      <w:r>
        <w:rPr>
          <w:lang w:val="es-ES"/>
        </w:rPr>
        <w:t xml:space="preserve">Es política del centro Texas </w:t>
      </w:r>
      <w:proofErr w:type="spellStart"/>
      <w:r>
        <w:rPr>
          <w:lang w:val="es-ES"/>
        </w:rPr>
        <w:t>Health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Surgery</w:t>
      </w:r>
      <w:proofErr w:type="spellEnd"/>
      <w:r>
        <w:rPr>
          <w:lang w:val="es-ES"/>
        </w:rPr>
        <w:t xml:space="preserve"> Center Bedford que du</w:t>
      </w:r>
      <w:r w:rsidR="00CF346F">
        <w:rPr>
          <w:lang w:val="es-ES"/>
        </w:rPr>
        <w:t>rante el episodio en que se brin</w:t>
      </w:r>
      <w:r>
        <w:rPr>
          <w:lang w:val="es-ES"/>
        </w:rPr>
        <w:t xml:space="preserve">de atención al paciente en el centro, </w:t>
      </w:r>
      <w:r w:rsidR="00CF346F">
        <w:rPr>
          <w:lang w:val="es-ES"/>
        </w:rPr>
        <w:t xml:space="preserve">si ocurriera un acontecimiento adverso durante la estadía del paciente, basado en razones de conciencia, se harán todos los esfuerzos razonables para revivir al paciente, incluyendo medidas de resucitación o estabilización, </w:t>
      </w:r>
      <w:r w:rsidR="0021502A">
        <w:rPr>
          <w:lang w:val="es-ES"/>
        </w:rPr>
        <w:t>sin importar el contenido de voluntades anticipadas/testamento vital/poder de atención médica o instrucci</w:t>
      </w:r>
      <w:r w:rsidR="00B8246C">
        <w:rPr>
          <w:lang w:val="es-ES"/>
        </w:rPr>
        <w:t xml:space="preserve">ones de un agente de atención </w:t>
      </w:r>
      <w:r w:rsidR="0021502A">
        <w:rPr>
          <w:lang w:val="es-ES"/>
        </w:rPr>
        <w:t xml:space="preserve">médica.  El centro se asegurará que los pacientes sean </w:t>
      </w:r>
      <w:r w:rsidR="009B7FCB">
        <w:rPr>
          <w:lang w:val="es-ES"/>
        </w:rPr>
        <w:t xml:space="preserve">plenamente </w:t>
      </w:r>
      <w:r w:rsidR="0021502A">
        <w:rPr>
          <w:lang w:val="es-ES"/>
        </w:rPr>
        <w:t xml:space="preserve">informados </w:t>
      </w:r>
      <w:r w:rsidR="009B7FCB">
        <w:rPr>
          <w:lang w:val="es-ES"/>
        </w:rPr>
        <w:t>sobre esta política previo a recibir cualquier atención.  Proporcionaremos a los p</w:t>
      </w:r>
      <w:r w:rsidR="00B8246C">
        <w:rPr>
          <w:lang w:val="es-ES"/>
        </w:rPr>
        <w:t>acientes información sobre las</w:t>
      </w:r>
      <w:r w:rsidR="009B7FCB">
        <w:rPr>
          <w:lang w:val="es-ES"/>
        </w:rPr>
        <w:t xml:space="preserve"> leyes estatales de salud y seguridad </w:t>
      </w:r>
      <w:r w:rsidR="00B8246C">
        <w:rPr>
          <w:lang w:val="es-ES"/>
        </w:rPr>
        <w:t xml:space="preserve">correspondientes </w:t>
      </w:r>
      <w:r w:rsidR="009B7FCB">
        <w:rPr>
          <w:lang w:val="es-ES"/>
        </w:rPr>
        <w:t>relativas a voluntades anticipadas/testamento vital.  Entre los tipos de voluntades anticipadas se incluyen los siguientes</w:t>
      </w:r>
      <w:r w:rsidR="00FC68BC">
        <w:rPr>
          <w:lang w:val="es-ES"/>
        </w:rPr>
        <w:t>:</w:t>
      </w:r>
    </w:p>
    <w:p w14:paraId="580FFBAC" w14:textId="77777777" w:rsidR="00FC68BC" w:rsidRDefault="00FC68BC" w:rsidP="00FC68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Testamento vital</w:t>
      </w:r>
    </w:p>
    <w:p w14:paraId="7836EC18" w14:textId="77777777" w:rsidR="00FC68BC" w:rsidRDefault="00FC68BC" w:rsidP="00FC68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Poder vitalicio para atención médica</w:t>
      </w:r>
    </w:p>
    <w:p w14:paraId="6E0C4329" w14:textId="77777777" w:rsidR="00FC68BC" w:rsidRDefault="00FC68BC" w:rsidP="00FC68BC">
      <w:pPr>
        <w:rPr>
          <w:lang w:val="es-ES"/>
        </w:rPr>
      </w:pPr>
    </w:p>
    <w:p w14:paraId="67797234" w14:textId="77777777" w:rsidR="00FC68BC" w:rsidRPr="00B8246C" w:rsidRDefault="00FC68BC" w:rsidP="00FC68BC">
      <w:pPr>
        <w:rPr>
          <w:b/>
          <w:lang w:val="es-ES"/>
        </w:rPr>
      </w:pPr>
      <w:r w:rsidRPr="00B8246C">
        <w:rPr>
          <w:b/>
          <w:lang w:val="es-ES"/>
        </w:rPr>
        <w:t>Procedimiento:</w:t>
      </w:r>
    </w:p>
    <w:p w14:paraId="391F2DE7" w14:textId="77777777" w:rsidR="00FC68BC" w:rsidRDefault="00FC68BC" w:rsidP="00FC68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Previo al inicio del procedimiento, el centro proveerá al paciente o al representante del paciente información relacionada con la política del centro sobre voluntades anticipadas.  Esta información debe incluir una descripción de las leyes estatales de salud y seguridad aplicables relativas a voluntades anticipadas.</w:t>
      </w:r>
    </w:p>
    <w:p w14:paraId="7C30B7CD" w14:textId="3FBBC2DE" w:rsidR="00C36E8A" w:rsidRDefault="00C36E8A" w:rsidP="00FC68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Cuando lo solicite el paciente o el representante del paciente, el centro proporcionará al paciente o al representante del paciente los for</w:t>
      </w:r>
      <w:r w:rsidR="002E5DC6">
        <w:rPr>
          <w:lang w:val="es-ES"/>
        </w:rPr>
        <w:t>mularios oficiales del estado para</w:t>
      </w:r>
      <w:r>
        <w:rPr>
          <w:lang w:val="es-ES"/>
        </w:rPr>
        <w:t xml:space="preserve"> voluntades anticipadas.  El centro mantendrá información específica del estado relacionada con voluntades </w:t>
      </w:r>
      <w:r w:rsidR="002E5DC6">
        <w:rPr>
          <w:lang w:val="es-ES"/>
        </w:rPr>
        <w:t xml:space="preserve">anticipadas para entregar </w:t>
      </w:r>
      <w:r>
        <w:rPr>
          <w:lang w:val="es-ES"/>
        </w:rPr>
        <w:t>a los pacientes contra solicitud.</w:t>
      </w:r>
    </w:p>
    <w:p w14:paraId="74083F36" w14:textId="77777777" w:rsidR="004B2BCB" w:rsidRDefault="00C36E8A" w:rsidP="00FC68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Se </w:t>
      </w:r>
      <w:proofErr w:type="gramStart"/>
      <w:r>
        <w:rPr>
          <w:lang w:val="es-ES"/>
        </w:rPr>
        <w:t>le</w:t>
      </w:r>
      <w:proofErr w:type="gramEnd"/>
      <w:r>
        <w:rPr>
          <w:lang w:val="es-ES"/>
        </w:rPr>
        <w:t xml:space="preserve"> preguntará a todos los pacientes si han </w:t>
      </w:r>
      <w:r w:rsidR="004B2BCB">
        <w:rPr>
          <w:lang w:val="es-ES"/>
        </w:rPr>
        <w:t>o no han suscrito una declaración de voluntades anticipadas y su respuesta será documentada en una parte prominente del historial médico actual del paciente.</w:t>
      </w:r>
    </w:p>
    <w:p w14:paraId="7B6DF1AD" w14:textId="326827C5" w:rsidR="00243959" w:rsidRDefault="00FC68BC" w:rsidP="00FC68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</w:t>
      </w:r>
      <w:r w:rsidR="004B2BCB">
        <w:rPr>
          <w:lang w:val="es-ES"/>
        </w:rPr>
        <w:t>Cuando un pac</w:t>
      </w:r>
      <w:r w:rsidR="00460B96">
        <w:rPr>
          <w:lang w:val="es-ES"/>
        </w:rPr>
        <w:t xml:space="preserve">iente o su representante indica </w:t>
      </w:r>
      <w:r w:rsidR="00243959">
        <w:rPr>
          <w:lang w:val="es-ES"/>
        </w:rPr>
        <w:t xml:space="preserve">que el paciente ha suscrito una declaración de voluntades anticipadas, el centro recordará al paciente o su representante la política del centro para responder a acontecimientos adversos durante el episodio </w:t>
      </w:r>
      <w:r w:rsidR="00460B96">
        <w:rPr>
          <w:lang w:val="es-ES"/>
        </w:rPr>
        <w:t xml:space="preserve">en el que el centro </w:t>
      </w:r>
      <w:r w:rsidR="00243959">
        <w:rPr>
          <w:lang w:val="es-ES"/>
        </w:rPr>
        <w:t xml:space="preserve">Surgical </w:t>
      </w:r>
      <w:proofErr w:type="spellStart"/>
      <w:r w:rsidR="00243959">
        <w:rPr>
          <w:lang w:val="es-ES"/>
        </w:rPr>
        <w:t>Care</w:t>
      </w:r>
      <w:proofErr w:type="spellEnd"/>
      <w:r w:rsidR="00243959">
        <w:rPr>
          <w:lang w:val="es-ES"/>
        </w:rPr>
        <w:t xml:space="preserve"> </w:t>
      </w:r>
      <w:proofErr w:type="spellStart"/>
      <w:r w:rsidR="00243959">
        <w:rPr>
          <w:lang w:val="es-ES"/>
        </w:rPr>
        <w:t>Affiliates</w:t>
      </w:r>
      <w:proofErr w:type="spellEnd"/>
      <w:r w:rsidR="00243959">
        <w:rPr>
          <w:lang w:val="es-ES"/>
        </w:rPr>
        <w:t xml:space="preserve"> brinde atención al paciente.</w:t>
      </w:r>
    </w:p>
    <w:p w14:paraId="43DD6BD0" w14:textId="35D3E3E4" w:rsidR="00C134B1" w:rsidRDefault="00C134B1" w:rsidP="00FC68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Cuando el paciente presente una declaración de voluntades anticipadas, el centro informará al paciente sobre la política del centro y se colocará una copia de las voluntades anticipadas en el historial médico para referencia </w:t>
      </w:r>
      <w:proofErr w:type="gramStart"/>
      <w:r>
        <w:rPr>
          <w:i/>
          <w:lang w:val="es-ES"/>
        </w:rPr>
        <w:t>en caso que</w:t>
      </w:r>
      <w:proofErr w:type="gramEnd"/>
      <w:r>
        <w:rPr>
          <w:lang w:val="es-ES"/>
        </w:rPr>
        <w:t xml:space="preserve"> el paci</w:t>
      </w:r>
      <w:r w:rsidR="00460B96">
        <w:rPr>
          <w:lang w:val="es-ES"/>
        </w:rPr>
        <w:t>ente sea transferido a un establecimiento</w:t>
      </w:r>
      <w:r>
        <w:rPr>
          <w:lang w:val="es-ES"/>
        </w:rPr>
        <w:t xml:space="preserve"> de cuidados intensivos.</w:t>
      </w:r>
    </w:p>
    <w:p w14:paraId="207DEF0B" w14:textId="77777777" w:rsidR="005B01A6" w:rsidRPr="005B01A6" w:rsidRDefault="005B01A6" w:rsidP="005B01A6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1458"/>
        <w:gridCol w:w="4855"/>
      </w:tblGrid>
      <w:tr w:rsidR="005B01A6" w:rsidRPr="00460B96" w14:paraId="3C4CA668" w14:textId="77777777" w:rsidTr="00090C7C">
        <w:trPr>
          <w:trHeight w:val="305"/>
        </w:trPr>
        <w:tc>
          <w:tcPr>
            <w:tcW w:w="4495" w:type="dxa"/>
            <w:gridSpan w:val="2"/>
          </w:tcPr>
          <w:p w14:paraId="1A4842BA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lastRenderedPageBreak/>
              <w:t xml:space="preserve">Texas </w:t>
            </w:r>
            <w:proofErr w:type="spellStart"/>
            <w:r w:rsidRPr="00460B96">
              <w:rPr>
                <w:b/>
                <w:lang w:val="es-ES"/>
              </w:rPr>
              <w:t>Health</w:t>
            </w:r>
            <w:proofErr w:type="spellEnd"/>
            <w:r w:rsidRPr="00460B96">
              <w:rPr>
                <w:b/>
                <w:lang w:val="es-ES"/>
              </w:rPr>
              <w:t xml:space="preserve"> </w:t>
            </w:r>
            <w:proofErr w:type="spellStart"/>
            <w:r w:rsidRPr="00460B96">
              <w:rPr>
                <w:b/>
                <w:lang w:val="es-ES"/>
              </w:rPr>
              <w:t>Surgery</w:t>
            </w:r>
            <w:proofErr w:type="spellEnd"/>
            <w:r w:rsidRPr="00460B96">
              <w:rPr>
                <w:b/>
                <w:lang w:val="es-ES"/>
              </w:rPr>
              <w:t xml:space="preserve"> Center Bedford</w:t>
            </w:r>
          </w:p>
        </w:tc>
        <w:tc>
          <w:tcPr>
            <w:tcW w:w="4855" w:type="dxa"/>
          </w:tcPr>
          <w:p w14:paraId="6134A938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Política No. PR-2</w:t>
            </w:r>
          </w:p>
        </w:tc>
      </w:tr>
      <w:tr w:rsidR="005B01A6" w:rsidRPr="00460B96" w14:paraId="2A12D85F" w14:textId="77777777" w:rsidTr="00090C7C">
        <w:tc>
          <w:tcPr>
            <w:tcW w:w="3037" w:type="dxa"/>
          </w:tcPr>
          <w:p w14:paraId="6398AE2F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Elaborado por: LB</w:t>
            </w:r>
          </w:p>
        </w:tc>
        <w:tc>
          <w:tcPr>
            <w:tcW w:w="1458" w:type="dxa"/>
          </w:tcPr>
          <w:p w14:paraId="735F2912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Aprobado por: MEC</w:t>
            </w:r>
          </w:p>
        </w:tc>
        <w:tc>
          <w:tcPr>
            <w:tcW w:w="4855" w:type="dxa"/>
            <w:vMerge w:val="restart"/>
          </w:tcPr>
          <w:p w14:paraId="24B79C3D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Título – É</w:t>
            </w:r>
            <w:r w:rsidR="00B50406" w:rsidRPr="00460B96">
              <w:rPr>
                <w:b/>
                <w:lang w:val="es-ES"/>
              </w:rPr>
              <w:t>tica,</w:t>
            </w:r>
            <w:r w:rsidRPr="00460B96">
              <w:rPr>
                <w:b/>
                <w:lang w:val="es-ES"/>
              </w:rPr>
              <w:t xml:space="preserve"> Derechos y Responsabilidades</w:t>
            </w:r>
          </w:p>
          <w:p w14:paraId="32F19E03" w14:textId="77777777" w:rsidR="005B01A6" w:rsidRPr="00460B96" w:rsidRDefault="005B01A6" w:rsidP="00090C7C">
            <w:pPr>
              <w:rPr>
                <w:b/>
                <w:lang w:val="es-ES"/>
              </w:rPr>
            </w:pPr>
          </w:p>
          <w:p w14:paraId="7A47A85C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PR- Voluntades Anticipadas</w:t>
            </w:r>
          </w:p>
        </w:tc>
      </w:tr>
      <w:tr w:rsidR="005B01A6" w:rsidRPr="00460B96" w14:paraId="380DE314" w14:textId="77777777" w:rsidTr="00090C7C">
        <w:tc>
          <w:tcPr>
            <w:tcW w:w="3037" w:type="dxa"/>
          </w:tcPr>
          <w:p w14:paraId="30036D3C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Fecha de origen: 17/5</w:t>
            </w:r>
          </w:p>
        </w:tc>
        <w:tc>
          <w:tcPr>
            <w:tcW w:w="1458" w:type="dxa"/>
            <w:vMerge w:val="restart"/>
          </w:tcPr>
          <w:p w14:paraId="0E825D88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Página</w:t>
            </w:r>
          </w:p>
          <w:p w14:paraId="3A4AEFDE" w14:textId="77777777" w:rsidR="005B01A6" w:rsidRPr="00460B96" w:rsidRDefault="00B5040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2</w:t>
            </w:r>
            <w:r w:rsidR="005B01A6" w:rsidRPr="00460B96">
              <w:rPr>
                <w:b/>
                <w:lang w:val="es-ES"/>
              </w:rPr>
              <w:t xml:space="preserve"> de 2</w:t>
            </w:r>
          </w:p>
        </w:tc>
        <w:tc>
          <w:tcPr>
            <w:tcW w:w="4855" w:type="dxa"/>
            <w:vMerge/>
          </w:tcPr>
          <w:p w14:paraId="67E0D9BC" w14:textId="77777777" w:rsidR="005B01A6" w:rsidRPr="00460B96" w:rsidRDefault="005B01A6" w:rsidP="00090C7C">
            <w:pPr>
              <w:rPr>
                <w:b/>
                <w:lang w:val="es-ES"/>
              </w:rPr>
            </w:pPr>
          </w:p>
        </w:tc>
      </w:tr>
      <w:tr w:rsidR="005B01A6" w:rsidRPr="00460B96" w14:paraId="73487862" w14:textId="77777777" w:rsidTr="00090C7C">
        <w:tc>
          <w:tcPr>
            <w:tcW w:w="3037" w:type="dxa"/>
          </w:tcPr>
          <w:p w14:paraId="07CD51AF" w14:textId="77777777" w:rsidR="005B01A6" w:rsidRPr="00460B96" w:rsidRDefault="005B01A6" w:rsidP="00090C7C">
            <w:pPr>
              <w:rPr>
                <w:b/>
                <w:lang w:val="es-ES"/>
              </w:rPr>
            </w:pPr>
            <w:r w:rsidRPr="00460B96">
              <w:rPr>
                <w:b/>
                <w:lang w:val="es-ES"/>
              </w:rPr>
              <w:t>Fecha de revisión o actualización:</w:t>
            </w:r>
          </w:p>
        </w:tc>
        <w:tc>
          <w:tcPr>
            <w:tcW w:w="1458" w:type="dxa"/>
            <w:vMerge/>
          </w:tcPr>
          <w:p w14:paraId="6AC34AC3" w14:textId="77777777" w:rsidR="005B01A6" w:rsidRPr="00460B96" w:rsidRDefault="005B01A6" w:rsidP="00090C7C">
            <w:pPr>
              <w:rPr>
                <w:b/>
                <w:lang w:val="es-ES"/>
              </w:rPr>
            </w:pPr>
          </w:p>
        </w:tc>
        <w:tc>
          <w:tcPr>
            <w:tcW w:w="4855" w:type="dxa"/>
            <w:vMerge/>
          </w:tcPr>
          <w:p w14:paraId="611810C6" w14:textId="77777777" w:rsidR="005B01A6" w:rsidRPr="00460B96" w:rsidRDefault="005B01A6" w:rsidP="00090C7C">
            <w:pPr>
              <w:rPr>
                <w:b/>
                <w:lang w:val="es-ES"/>
              </w:rPr>
            </w:pPr>
          </w:p>
        </w:tc>
      </w:tr>
    </w:tbl>
    <w:p w14:paraId="3E3F3C7D" w14:textId="77777777" w:rsidR="00B50406" w:rsidRPr="00460B96" w:rsidRDefault="00B50406" w:rsidP="00B50406">
      <w:pPr>
        <w:pStyle w:val="ListParagraph"/>
        <w:rPr>
          <w:b/>
          <w:lang w:val="es-ES"/>
        </w:rPr>
      </w:pPr>
    </w:p>
    <w:p w14:paraId="1B006F0A" w14:textId="77777777" w:rsidR="00B50406" w:rsidRDefault="00B50406" w:rsidP="00B50406">
      <w:pPr>
        <w:pStyle w:val="ListParagraph"/>
        <w:rPr>
          <w:lang w:val="es-ES"/>
        </w:rPr>
      </w:pPr>
    </w:p>
    <w:p w14:paraId="7AB08E1F" w14:textId="77777777" w:rsidR="00FC68BC" w:rsidRDefault="004E6DF9" w:rsidP="00FC68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Si un paciente indica que ha suscrito una declaración de voluntades anticipadas </w:t>
      </w:r>
      <w:proofErr w:type="gramStart"/>
      <w:r>
        <w:rPr>
          <w:lang w:val="es-ES"/>
        </w:rPr>
        <w:t xml:space="preserve">y </w:t>
      </w:r>
      <w:r w:rsidR="00243959">
        <w:rPr>
          <w:lang w:val="es-ES"/>
        </w:rPr>
        <w:t xml:space="preserve"> </w:t>
      </w:r>
      <w:r>
        <w:rPr>
          <w:lang w:val="es-ES"/>
        </w:rPr>
        <w:t>se</w:t>
      </w:r>
      <w:proofErr w:type="gramEnd"/>
      <w:r>
        <w:rPr>
          <w:lang w:val="es-ES"/>
        </w:rPr>
        <w:t xml:space="preserve"> rehúsa a proveer una copia, se pondrá una nota en un lugar prominente del historial médico indicando dónde se encuentra archivada la declaración de voluntades anticipadas.</w:t>
      </w:r>
    </w:p>
    <w:p w14:paraId="62494401" w14:textId="77777777" w:rsidR="00E509B2" w:rsidRDefault="004E6DF9" w:rsidP="00E509B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Si el paciente</w:t>
      </w:r>
      <w:r w:rsidR="00E509B2">
        <w:rPr>
          <w:lang w:val="es-ES"/>
        </w:rPr>
        <w:t xml:space="preserve"> opta por buscar modalidades alternativas de atención médica debido a la política del centro, el centro proporcionará las referencias apropiadas para el paciente.</w:t>
      </w:r>
    </w:p>
    <w:p w14:paraId="2FC2C73C" w14:textId="77777777" w:rsidR="00E509B2" w:rsidRDefault="00E509B2" w:rsidP="00E509B2">
      <w:pPr>
        <w:ind w:left="360"/>
        <w:rPr>
          <w:lang w:val="es-ES"/>
        </w:rPr>
      </w:pPr>
    </w:p>
    <w:p w14:paraId="5E621FB6" w14:textId="77777777" w:rsidR="005B01A6" w:rsidRDefault="00E509B2" w:rsidP="00E509B2">
      <w:pPr>
        <w:ind w:left="360"/>
        <w:rPr>
          <w:lang w:val="es-ES"/>
        </w:rPr>
      </w:pPr>
      <w:r>
        <w:rPr>
          <w:lang w:val="es-ES"/>
        </w:rPr>
        <w:t xml:space="preserve">Enlaces a Voluntades Anticipadas específicas del Estado: </w:t>
      </w:r>
      <w:hyperlink r:id="rId5" w:history="1">
        <w:r w:rsidRPr="00A96CBC">
          <w:rPr>
            <w:rStyle w:val="Hyperlink"/>
            <w:lang w:val="es-ES"/>
          </w:rPr>
          <w:t>http://www.caringinfo.org/stateaddownload</w:t>
        </w:r>
      </w:hyperlink>
      <w:r>
        <w:rPr>
          <w:lang w:val="es-ES"/>
        </w:rPr>
        <w:t xml:space="preserve"> o </w:t>
      </w:r>
    </w:p>
    <w:p w14:paraId="75677DED" w14:textId="77777777" w:rsidR="00E509B2" w:rsidRDefault="00A87D67" w:rsidP="00E509B2">
      <w:pPr>
        <w:ind w:left="360"/>
        <w:rPr>
          <w:lang w:val="es-ES"/>
        </w:rPr>
      </w:pPr>
      <w:hyperlink r:id="rId6" w:history="1">
        <w:r w:rsidR="00E509B2" w:rsidRPr="00A96CBC">
          <w:rPr>
            <w:rStyle w:val="Hyperlink"/>
            <w:lang w:val="es-ES"/>
          </w:rPr>
          <w:t>http://www.noah-health.org/en/rights/endoflife/adforms.html</w:t>
        </w:r>
      </w:hyperlink>
      <w:r w:rsidR="00E509B2">
        <w:rPr>
          <w:lang w:val="es-ES"/>
        </w:rPr>
        <w:t xml:space="preserve">   </w:t>
      </w:r>
      <w:r w:rsidR="005B01A6">
        <w:rPr>
          <w:lang w:val="es-ES"/>
        </w:rPr>
        <w:t xml:space="preserve">Para preguntas, comuníquese con SCA Legal </w:t>
      </w:r>
      <w:proofErr w:type="spellStart"/>
      <w:r w:rsidR="005B01A6">
        <w:rPr>
          <w:lang w:val="es-ES"/>
        </w:rPr>
        <w:t>Services</w:t>
      </w:r>
      <w:proofErr w:type="spellEnd"/>
      <w:r w:rsidR="005B01A6">
        <w:rPr>
          <w:lang w:val="es-ES"/>
        </w:rPr>
        <w:t xml:space="preserve"> (Servicios Legales de SCA) al 1.800.768.0094 o 1.205.545.2627</w:t>
      </w:r>
    </w:p>
    <w:p w14:paraId="1E56F41F" w14:textId="77777777" w:rsidR="005B01A6" w:rsidRDefault="005B01A6" w:rsidP="00E509B2">
      <w:pPr>
        <w:ind w:left="360"/>
        <w:rPr>
          <w:lang w:val="es-ES"/>
        </w:rPr>
      </w:pPr>
    </w:p>
    <w:p w14:paraId="08E00908" w14:textId="77777777" w:rsidR="005B01A6" w:rsidRPr="0056435D" w:rsidRDefault="005B01A6" w:rsidP="00E509B2">
      <w:pPr>
        <w:ind w:left="360"/>
        <w:rPr>
          <w:b/>
          <w:lang w:val="es-ES"/>
        </w:rPr>
      </w:pPr>
      <w:r w:rsidRPr="0056435D">
        <w:rPr>
          <w:b/>
          <w:lang w:val="es-ES"/>
        </w:rPr>
        <w:t>Referencias</w:t>
      </w:r>
      <w:r w:rsidR="00B50406" w:rsidRPr="0056435D">
        <w:rPr>
          <w:b/>
          <w:lang w:val="es-ES"/>
        </w:rPr>
        <w:t>:</w:t>
      </w:r>
    </w:p>
    <w:p w14:paraId="15C71B20" w14:textId="77777777" w:rsidR="00B50406" w:rsidRDefault="00B50406" w:rsidP="00E509B2">
      <w:pPr>
        <w:ind w:left="360"/>
        <w:rPr>
          <w:lang w:val="es-ES"/>
        </w:rPr>
      </w:pPr>
    </w:p>
    <w:p w14:paraId="12685C57" w14:textId="77777777" w:rsidR="00B50406" w:rsidRPr="00E509B2" w:rsidRDefault="00B50406" w:rsidP="00E509B2">
      <w:pPr>
        <w:ind w:left="360"/>
        <w:rPr>
          <w:lang w:val="es-ES"/>
        </w:rPr>
      </w:pPr>
      <w:r w:rsidRPr="00B50406">
        <w:rPr>
          <w:noProof/>
        </w:rPr>
        <w:drawing>
          <wp:inline distT="0" distB="0" distL="0" distR="0" wp14:anchorId="48AB348C" wp14:editId="6B0BA883">
            <wp:extent cx="5943600" cy="1573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406" w:rsidRPr="00E509B2" w:rsidSect="00E5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62C5"/>
    <w:multiLevelType w:val="hybridMultilevel"/>
    <w:tmpl w:val="6BDC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E43C6"/>
    <w:multiLevelType w:val="hybridMultilevel"/>
    <w:tmpl w:val="8488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A0"/>
    <w:rsid w:val="0021502A"/>
    <w:rsid w:val="00243959"/>
    <w:rsid w:val="00257252"/>
    <w:rsid w:val="002E5DC6"/>
    <w:rsid w:val="00460B96"/>
    <w:rsid w:val="004B2BCB"/>
    <w:rsid w:val="004E6DF9"/>
    <w:rsid w:val="0056435D"/>
    <w:rsid w:val="00594FE9"/>
    <w:rsid w:val="005B01A6"/>
    <w:rsid w:val="00745B6C"/>
    <w:rsid w:val="00797A1F"/>
    <w:rsid w:val="009764A0"/>
    <w:rsid w:val="00986F50"/>
    <w:rsid w:val="009B7FCB"/>
    <w:rsid w:val="00A87D67"/>
    <w:rsid w:val="00B50406"/>
    <w:rsid w:val="00B8246C"/>
    <w:rsid w:val="00C134B1"/>
    <w:rsid w:val="00C36E8A"/>
    <w:rsid w:val="00CF346F"/>
    <w:rsid w:val="00D34E28"/>
    <w:rsid w:val="00E509B2"/>
    <w:rsid w:val="00E56CC5"/>
    <w:rsid w:val="00F1159F"/>
    <w:rsid w:val="00F11BD2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9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ah-health.org/en/rights/endoflife/adforms.html" TargetMode="External"/><Relationship Id="rId5" Type="http://schemas.openxmlformats.org/officeDocument/2006/relationships/hyperlink" Target="http://www.caringinfo.org/statead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ASAP Traducciones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Zirión-Zarakov</dc:creator>
  <cp:keywords/>
  <dc:description/>
  <cp:lastModifiedBy>Webb, Ryan</cp:lastModifiedBy>
  <cp:revision>2</cp:revision>
  <dcterms:created xsi:type="dcterms:W3CDTF">2018-06-07T15:24:00Z</dcterms:created>
  <dcterms:modified xsi:type="dcterms:W3CDTF">2018-06-07T15:24:00Z</dcterms:modified>
</cp:coreProperties>
</file>